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start="-720" w:end="-720" w:hanging="0"/>
        <w:jc w:val="center"/>
        <w:rPr>
          <w:b/>
          <w:b/>
          <w:sz w:val="28"/>
          <w:szCs w:val="28"/>
        </w:rPr>
      </w:pPr>
      <w:r>
        <w:rPr>
          <w:b/>
          <w:sz w:val="28"/>
          <w:szCs w:val="28"/>
        </w:rPr>
        <w:t>Exam 3 – Fall 2019</w:t>
      </w:r>
    </w:p>
    <w:p>
      <w:pPr>
        <w:pStyle w:val="Normal"/>
        <w:ind w:start="-720" w:end="-720" w:hanging="0"/>
        <w:jc w:val="center"/>
        <w:rPr>
          <w:sz w:val="28"/>
          <w:szCs w:val="28"/>
        </w:rPr>
      </w:pPr>
      <w:r>
        <w:rPr>
          <w:sz w:val="28"/>
          <w:szCs w:val="28"/>
        </w:rPr>
        <w:t>BCH 341 - Physical Chemistry with a Biological Focus</w:t>
      </w:r>
    </w:p>
    <w:p>
      <w:pPr>
        <w:pStyle w:val="Normal"/>
        <w:ind w:start="-720" w:end="-720" w:hanging="0"/>
        <w:jc w:val="center"/>
        <w:rPr>
          <w:sz w:val="28"/>
          <w:szCs w:val="28"/>
        </w:rPr>
      </w:pPr>
      <w:r>
        <w:rPr>
          <w:sz w:val="28"/>
          <w:szCs w:val="28"/>
        </w:rPr>
        <w:t xml:space="preserve">Professor Jeff Yarger </w:t>
      </w:r>
    </w:p>
    <w:p>
      <w:pPr>
        <w:pStyle w:val="Normal"/>
        <w:ind w:start="-720" w:end="-720" w:hanging="0"/>
        <w:jc w:val="center"/>
        <w:rPr>
          <w:b/>
          <w:b/>
          <w:sz w:val="28"/>
          <w:szCs w:val="28"/>
        </w:rPr>
      </w:pPr>
      <w:r>
        <w:rPr>
          <w:b/>
          <w:sz w:val="28"/>
          <w:szCs w:val="28"/>
        </w:rPr>
      </w:r>
    </w:p>
    <w:p>
      <w:pPr>
        <w:pStyle w:val="Normal"/>
        <w:ind w:start="-720" w:end="-720" w:hanging="0"/>
        <w:jc w:val="center"/>
        <w:rPr/>
      </w:pPr>
      <w:r>
        <w:rPr/>
        <w:t>September 4-7, 2019</w:t>
      </w:r>
    </w:p>
    <w:p>
      <w:pPr>
        <w:pStyle w:val="Normal"/>
        <w:ind w:start="-720" w:end="-720" w:hanging="0"/>
        <w:jc w:val="center"/>
        <w:rPr/>
      </w:pPr>
      <w:r>
        <w:rPr/>
      </w:r>
    </w:p>
    <w:p>
      <w:pPr>
        <w:pStyle w:val="NormalWeb"/>
        <w:spacing w:before="0" w:after="0"/>
        <w:ind w:start="-720" w:end="-720" w:hanging="0"/>
        <w:jc w:val="both"/>
        <w:rPr/>
      </w:pPr>
      <w:r>
        <w:rPr>
          <w:b/>
          <w:bCs/>
          <w:color w:val="000000"/>
          <w:sz w:val="22"/>
          <w:szCs w:val="22"/>
        </w:rPr>
        <w:t xml:space="preserve">DUE Monday October 7, 2019 by 11:59 PM (UTC-7). Turn in completed exam as a </w:t>
      </w:r>
      <w:r>
        <w:rPr>
          <w:b/>
          <w:bCs/>
          <w:color w:val="000000"/>
          <w:sz w:val="22"/>
          <w:szCs w:val="22"/>
          <w:u w:val="single"/>
        </w:rPr>
        <w:t>typeset single PDF document</w:t>
      </w:r>
      <w:r>
        <w:rPr>
          <w:b/>
          <w:bCs/>
          <w:color w:val="000000"/>
          <w:sz w:val="22"/>
          <w:szCs w:val="22"/>
        </w:rPr>
        <w:t xml:space="preserve"> into the assignment link on ASU Canvas. Please make sure the completed exam is organized, self-contained and all text, equations, numbers, units, figures and images are typeset, clear and legible.</w:t>
      </w:r>
    </w:p>
    <w:p>
      <w:pPr>
        <w:pStyle w:val="Normal"/>
        <w:ind w:start="0" w:end="-720" w:hanging="0"/>
        <w:jc w:val="both"/>
        <w:rPr>
          <w:rFonts w:ascii="Proxima Nova" w:hAnsi="Proxima Nova"/>
          <w:color w:val="000000"/>
          <w:sz w:val="22"/>
          <w:szCs w:val="22"/>
        </w:rPr>
      </w:pPr>
      <w:r>
        <w:rPr>
          <w:rFonts w:ascii="Proxima Nova" w:hAnsi="Proxima Nova"/>
          <w:color w:val="000000"/>
          <w:sz w:val="22"/>
          <w:szCs w:val="22"/>
        </w:rPr>
      </w:r>
    </w:p>
    <w:p>
      <w:pPr>
        <w:pStyle w:val="NormalWeb"/>
        <w:spacing w:before="0" w:after="0"/>
        <w:ind w:start="-720" w:end="-720" w:hanging="0"/>
        <w:rPr>
          <w:rFonts w:ascii="Proxima Nova" w:hAnsi="Proxima Nova"/>
          <w:color w:val="000000"/>
          <w:sz w:val="22"/>
          <w:szCs w:val="22"/>
          <w:u w:val="single"/>
        </w:rPr>
      </w:pPr>
      <w:r>
        <w:rPr>
          <w:rFonts w:ascii="Proxima Nova" w:hAnsi="Proxima Nova"/>
          <w:color w:val="000000"/>
          <w:sz w:val="22"/>
          <w:szCs w:val="22"/>
          <w:u w:val="single"/>
        </w:rPr>
        <w:t>Student Required Identification:</w:t>
      </w:r>
    </w:p>
    <w:p>
      <w:pPr>
        <w:pStyle w:val="NormalWeb"/>
        <w:spacing w:before="0" w:after="0"/>
        <w:ind w:start="-720" w:end="-720" w:hanging="0"/>
        <w:rPr>
          <w:rFonts w:ascii="Proxima Nova" w:hAnsi="Proxima Nova"/>
          <w:color w:val="000000"/>
          <w:sz w:val="22"/>
          <w:szCs w:val="22"/>
        </w:rPr>
      </w:pPr>
      <w:r>
        <w:rPr>
          <w:rFonts w:ascii="Proxima Nova" w:hAnsi="Proxima Nova"/>
          <w:color w:val="000000"/>
          <w:sz w:val="22"/>
          <w:szCs w:val="22"/>
        </w:rPr>
      </w:r>
    </w:p>
    <w:p>
      <w:pPr>
        <w:pStyle w:val="NormalWeb"/>
        <w:spacing w:before="0" w:after="0"/>
        <w:ind w:start="-720" w:end="-720" w:hanging="0"/>
        <w:rPr>
          <w:rFonts w:ascii="Proxima Nova" w:hAnsi="Proxima Nova"/>
          <w:color w:val="000000"/>
        </w:rPr>
      </w:pPr>
      <w:r>
        <w:rPr>
          <w:rFonts w:ascii="Proxima Nova" w:hAnsi="Proxima Nova"/>
          <w:color w:val="000000"/>
        </w:rPr>
        <w:t>NAME:__________________________________________________</w:t>
      </w:r>
    </w:p>
    <w:p>
      <w:pPr>
        <w:pStyle w:val="NormalWeb"/>
        <w:spacing w:before="0" w:after="0"/>
        <w:ind w:start="-720" w:end="-720" w:hanging="0"/>
        <w:rPr>
          <w:rFonts w:ascii="Proxima Nova" w:hAnsi="Proxima Nova"/>
          <w:color w:val="000000"/>
        </w:rPr>
      </w:pPr>
      <w:r>
        <w:rPr>
          <w:rFonts w:ascii="Proxima Nova" w:hAnsi="Proxima Nova"/>
          <w:color w:val="000000"/>
        </w:rPr>
      </w:r>
    </w:p>
    <w:p>
      <w:pPr>
        <w:pStyle w:val="NormalWeb"/>
        <w:spacing w:before="0" w:after="0"/>
        <w:ind w:start="-720" w:end="-720" w:hanging="0"/>
        <w:rPr>
          <w:rFonts w:ascii="Proxima Nova" w:hAnsi="Proxima Nova"/>
          <w:color w:val="000000"/>
        </w:rPr>
      </w:pPr>
      <w:r>
        <w:rPr>
          <w:rFonts w:ascii="Proxima Nova" w:hAnsi="Proxima Nova"/>
          <w:color w:val="000000"/>
        </w:rPr>
        <w:t>ASU ID #:________________________________________________</w:t>
      </w:r>
    </w:p>
    <w:p>
      <w:pPr>
        <w:pStyle w:val="NormalWeb"/>
        <w:spacing w:before="0" w:after="0"/>
        <w:ind w:start="-720" w:end="-720" w:hanging="0"/>
        <w:rPr>
          <w:rFonts w:ascii="Proxima Nova" w:hAnsi="Proxima Nova"/>
          <w:color w:val="000000"/>
        </w:rPr>
      </w:pPr>
      <w:r>
        <w:rPr>
          <w:rFonts w:ascii="Proxima Nova" w:hAnsi="Proxima Nova"/>
          <w:color w:val="000000"/>
        </w:rPr>
        <w:t>(10-digit number (typically starting with 12xxxxxxxx or 10xxxxxxxx))</w:t>
      </w:r>
    </w:p>
    <w:p>
      <w:pPr>
        <w:pStyle w:val="NormalWeb"/>
        <w:spacing w:before="0" w:after="0"/>
        <w:ind w:start="-720" w:end="-720" w:hanging="0"/>
        <w:rPr>
          <w:rFonts w:ascii="Proxima Nova" w:hAnsi="Proxima Nova"/>
          <w:color w:val="000000"/>
          <w:u w:val="single"/>
        </w:rPr>
      </w:pPr>
      <w:r>
        <w:rPr>
          <w:rFonts w:ascii="Proxima Nova" w:hAnsi="Proxima Nova"/>
          <w:color w:val="000000"/>
          <w:u w:val="single"/>
        </w:rPr>
      </w:r>
    </w:p>
    <w:p>
      <w:pPr>
        <w:pStyle w:val="NormalWeb"/>
        <w:spacing w:before="0" w:after="0"/>
        <w:ind w:start="-720" w:end="-720" w:hanging="0"/>
        <w:rPr>
          <w:rFonts w:ascii="Proxima Nova" w:hAnsi="Proxima Nova"/>
          <w:color w:val="000000"/>
        </w:rPr>
      </w:pPr>
      <w:r>
        <w:rPr>
          <w:rFonts w:ascii="Proxima Nova" w:hAnsi="Proxima Nova"/>
          <w:color w:val="000000"/>
        </w:rPr>
        <w:t xml:space="preserve">Email: ___________________________________________________    </w:t>
      </w:r>
    </w:p>
    <w:p>
      <w:pPr>
        <w:pStyle w:val="Normal"/>
        <w:ind w:start="-720" w:end="-720" w:hanging="0"/>
        <w:jc w:val="both"/>
        <w:rPr>
          <w:sz w:val="22"/>
          <w:szCs w:val="22"/>
        </w:rPr>
      </w:pPr>
      <w:r>
        <w:rPr>
          <w:sz w:val="22"/>
          <w:szCs w:val="22"/>
        </w:rPr>
      </w:r>
    </w:p>
    <w:p>
      <w:pPr>
        <w:pStyle w:val="Normal"/>
        <w:ind w:start="-720" w:end="-720" w:hanging="0"/>
        <w:jc w:val="both"/>
        <w:rPr>
          <w:i/>
          <w:i/>
          <w:iCs/>
          <w:sz w:val="22"/>
          <w:szCs w:val="22"/>
        </w:rPr>
      </w:pPr>
      <w:r>
        <w:rPr>
          <w:i/>
          <w:iCs/>
          <w:sz w:val="22"/>
          <w:szCs w:val="22"/>
        </w:rPr>
        <w:t>Exam General Instructions</w:t>
      </w:r>
    </w:p>
    <w:p>
      <w:pPr>
        <w:pStyle w:val="Normal"/>
        <w:ind w:start="-720" w:end="-720" w:hanging="0"/>
        <w:jc w:val="both"/>
        <w:rPr>
          <w:sz w:val="22"/>
          <w:szCs w:val="22"/>
        </w:rPr>
      </w:pPr>
      <w:r>
        <w:rPr>
          <w:sz w:val="22"/>
          <w:szCs w:val="22"/>
        </w:rPr>
        <w:t xml:space="preserve">There are 4 multi-component exercises/projects on this exam. Each of the multi-component numbered exercises/projects (problems) is worth 25 points. Hence, the exam is worth a total of 100 points. You are required to explicitly show all equations, numerical calculations and associated units. All points are associated with explicitly showing all your work and no points are awarded for just determining the correct numerical answer.  All assumptions need to be clearly and concisely stated.  If thermodynamic parameters are used, the citation, reference or link to where this thermodynamics data came from must be stated.  Appropriate units should be associated with all numerical problem solving.  The completed exam should be typeset (no handwriting of equations or numerical values and associated units).  </w:t>
      </w:r>
    </w:p>
    <w:p>
      <w:pPr>
        <w:pStyle w:val="Normal"/>
        <w:ind w:start="0" w:end="-720" w:hanging="0"/>
        <w:jc w:val="both"/>
        <w:rPr>
          <w:sz w:val="22"/>
          <w:szCs w:val="22"/>
        </w:rPr>
      </w:pPr>
      <w:r>
        <w:rPr>
          <w:sz w:val="22"/>
          <w:szCs w:val="22"/>
        </w:rPr>
      </w:r>
    </w:p>
    <w:p>
      <w:pPr>
        <w:pStyle w:val="Normal"/>
        <w:ind w:start="-720" w:end="-720" w:hanging="0"/>
        <w:jc w:val="both"/>
        <w:rPr/>
      </w:pPr>
      <w:r>
        <w:rPr>
          <w:b/>
          <w:bCs/>
          <w:i/>
          <w:iCs/>
          <w:color w:val="666666"/>
          <w:sz w:val="22"/>
          <w:szCs w:val="22"/>
          <w:u w:val="single"/>
        </w:rPr>
        <w:t>Evaluation Section</w:t>
      </w:r>
      <w:r>
        <w:rPr>
          <w:color w:val="666666"/>
          <w:sz w:val="22"/>
          <w:szCs w:val="22"/>
        </w:rPr>
        <w:t xml:space="preserve"> (TA/Instructors)</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Instructor Comment:</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___________________________________________________________________________________________</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Instructor Grading Summary:</w:t>
      </w:r>
    </w:p>
    <w:p>
      <w:pPr>
        <w:pStyle w:val="Normal"/>
        <w:tabs>
          <w:tab w:val="clear" w:pos="560"/>
          <w:tab w:val="left" w:pos="720" w:leader="none"/>
          <w:tab w:val="left" w:pos="1080" w:leader="none"/>
        </w:tabs>
        <w:ind w:start="-720" w:end="-720" w:hanging="0"/>
        <w:jc w:val="both"/>
        <w:rPr>
          <w:color w:val="666666"/>
          <w:sz w:val="22"/>
          <w:szCs w:val="22"/>
        </w:rPr>
      </w:pPr>
      <w:r>
        <w:rPr>
          <w:color w:val="666666"/>
          <w:sz w:val="22"/>
          <w:szCs w:val="22"/>
        </w:rPr>
        <w:t>Exam Score: ________ / 100 pts           Extra Credit: ________ / 15 pts</w:t>
      </w:r>
      <w:r>
        <w:br w:type="page"/>
      </w:r>
    </w:p>
    <w:p>
      <w:pPr>
        <w:pStyle w:val="Normal"/>
        <w:ind w:start="-720" w:end="-720" w:hanging="0"/>
        <w:jc w:val="both"/>
        <w:rPr/>
      </w:pPr>
      <w:r>
        <w:rPr>
          <w:sz w:val="22"/>
          <w:szCs w:val="22"/>
          <w:lang w:eastAsia="ja-JP"/>
        </w:rPr>
        <w:t>1. Malate dehydrogenase (MDH) is an enzyme that reversibly catalyzes the oxidation of malate to oxaloacetate using the reduction of NAD</w:t>
      </w:r>
      <w:r>
        <w:rPr>
          <w:sz w:val="22"/>
          <w:szCs w:val="22"/>
          <w:vertAlign w:val="superscript"/>
          <w:lang w:eastAsia="ja-JP"/>
        </w:rPr>
        <w:t>+</w:t>
      </w:r>
      <w:r>
        <w:rPr>
          <w:sz w:val="22"/>
          <w:szCs w:val="22"/>
          <w:lang w:eastAsia="ja-JP"/>
        </w:rPr>
        <w:t xml:space="preserve"> to NADH.  This reaction is part of many metabolic pathways, including the citric acid cycle.  (A) Write a balanced chemical reaction and the associated half-reactions for the oxidation of malate to oxaloacetate using the reduction of NAD</w:t>
      </w:r>
      <w:r>
        <w:rPr>
          <w:sz w:val="22"/>
          <w:szCs w:val="22"/>
          <w:vertAlign w:val="superscript"/>
          <w:lang w:eastAsia="ja-JP"/>
        </w:rPr>
        <w:t>+</w:t>
      </w:r>
      <w:r>
        <w:rPr>
          <w:sz w:val="22"/>
          <w:szCs w:val="22"/>
          <w:lang w:eastAsia="ja-JP"/>
        </w:rPr>
        <w:t xml:space="preserve"> to NADH. </w:t>
      </w:r>
      <w:r>
        <w:rPr>
          <w:i/>
          <w:iCs/>
          <w:sz w:val="22"/>
          <w:szCs w:val="22"/>
          <w:lang w:eastAsia="ja-JP"/>
        </w:rPr>
        <w:t>(10 pts)</w:t>
      </w:r>
      <w:r>
        <w:rPr>
          <w:sz w:val="22"/>
          <w:szCs w:val="22"/>
          <w:lang w:eastAsia="ja-JP"/>
        </w:rPr>
        <w:t xml:space="preserve"> (B) Calculate the biological standard Gibbs energy for the balance chemical reaction of the oxidation of malate to oxaloacetate using the reduction of NAD</w:t>
      </w:r>
      <w:r>
        <w:rPr>
          <w:sz w:val="22"/>
          <w:szCs w:val="22"/>
          <w:vertAlign w:val="superscript"/>
          <w:lang w:eastAsia="ja-JP"/>
        </w:rPr>
        <w:t>+</w:t>
      </w:r>
      <w:r>
        <w:rPr>
          <w:sz w:val="22"/>
          <w:szCs w:val="22"/>
          <w:lang w:eastAsia="ja-JP"/>
        </w:rPr>
        <w:t xml:space="preserve"> to NADH. </w:t>
      </w:r>
      <w:r>
        <w:rPr>
          <w:i/>
          <w:iCs/>
          <w:sz w:val="22"/>
          <w:szCs w:val="22"/>
          <w:lang w:eastAsia="ja-JP"/>
        </w:rPr>
        <w:t>(15 pts)</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sz w:val="22"/>
          <w:szCs w:val="22"/>
          <w:lang w:eastAsia="ja-JP"/>
        </w:rPr>
        <w:t xml:space="preserve">2. The standard potentials of proteins can be determined using a solution method by allowing the oxidized protein to react with an appropriate electron donor and then using the Nernst equation, the equilibrium concentrations of all species in solution, and the known standard potential of the electron donor.  We shall illustrate this method with the protein cytochrome </w:t>
      </w:r>
      <w:r>
        <w:rPr>
          <w:i/>
          <w:iCs/>
          <w:sz w:val="22"/>
          <w:szCs w:val="22"/>
          <w:lang w:eastAsia="ja-JP"/>
        </w:rPr>
        <w:t>c</w:t>
      </w:r>
      <w:r>
        <w:rPr>
          <w:sz w:val="22"/>
          <w:szCs w:val="22"/>
          <w:lang w:eastAsia="ja-JP"/>
        </w:rPr>
        <w:t xml:space="preserve">. </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sz w:val="22"/>
          <w:szCs w:val="22"/>
          <w:lang w:eastAsia="ja-JP"/>
        </w:rPr>
        <w:t xml:space="preserve">(A) The one-electron reaction between cytochrome </w:t>
      </w:r>
      <w:r>
        <w:rPr>
          <w:i/>
          <w:iCs/>
          <w:sz w:val="22"/>
          <w:szCs w:val="22"/>
          <w:lang w:eastAsia="ja-JP"/>
        </w:rPr>
        <w:t>c</w:t>
      </w:r>
      <w:r>
        <w:rPr>
          <w:sz w:val="22"/>
          <w:szCs w:val="22"/>
          <w:lang w:eastAsia="ja-JP"/>
        </w:rPr>
        <w:t>, cyt-</w:t>
      </w:r>
      <w:r>
        <w:rPr>
          <w:i/>
          <w:iCs/>
          <w:sz w:val="22"/>
          <w:szCs w:val="22"/>
          <w:lang w:eastAsia="ja-JP"/>
        </w:rPr>
        <w:t>c</w:t>
      </w:r>
      <w:r>
        <w:rPr>
          <w:sz w:val="22"/>
          <w:szCs w:val="22"/>
          <w:lang w:eastAsia="ja-JP"/>
        </w:rPr>
        <w:t xml:space="preserve"> and 2,6-dichloroindophenol, D, can be written as</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sz w:val="22"/>
          <w:szCs w:val="22"/>
          <w:lang w:eastAsia="ja-JP"/>
        </w:rPr>
        <w:t>cyt-</w:t>
      </w:r>
      <w:r>
        <w:rPr>
          <w:i/>
          <w:iCs/>
          <w:sz w:val="22"/>
          <w:szCs w:val="22"/>
          <w:lang w:eastAsia="ja-JP"/>
        </w:rPr>
        <w:t>c</w:t>
      </w:r>
      <w:r>
        <w:rPr>
          <w:sz w:val="22"/>
          <w:szCs w:val="22"/>
          <w:vertAlign w:val="subscript"/>
          <w:lang w:eastAsia="ja-JP"/>
        </w:rPr>
        <w:t>ox</w:t>
      </w:r>
      <w:r>
        <w:rPr>
          <w:sz w:val="22"/>
          <w:szCs w:val="22"/>
          <w:lang w:eastAsia="ja-JP"/>
        </w:rPr>
        <w:t xml:space="preserve"> + D</w:t>
      </w:r>
      <w:r>
        <w:rPr>
          <w:sz w:val="22"/>
          <w:szCs w:val="22"/>
          <w:vertAlign w:val="subscript"/>
          <w:lang w:eastAsia="ja-JP"/>
        </w:rPr>
        <w:t>red</w:t>
      </w:r>
      <w:r>
        <w:rPr>
          <w:sz w:val="22"/>
          <w:szCs w:val="22"/>
          <w:lang w:eastAsia="ja-JP"/>
        </w:rPr>
        <w:t xml:space="preserve"> </w:t>
      </w:r>
      <w:r>
        <w:rPr/>
      </w:r>
      <m:oMath xmlns:m="http://schemas.openxmlformats.org/officeDocument/2006/math">
        <m:r>
          <m:t xml:space="preserve">⇌</m:t>
        </m:r>
      </m:oMath>
      <w:r>
        <w:rPr>
          <w:sz w:val="22"/>
          <w:szCs w:val="22"/>
          <w:lang w:eastAsia="ja-JP"/>
        </w:rPr>
        <w:t xml:space="preserve">  cyt-</w:t>
      </w:r>
      <w:r>
        <w:rPr>
          <w:i/>
          <w:iCs/>
          <w:sz w:val="22"/>
          <w:szCs w:val="22"/>
          <w:lang w:eastAsia="ja-JP"/>
        </w:rPr>
        <w:t>c</w:t>
      </w:r>
      <w:r>
        <w:rPr>
          <w:sz w:val="22"/>
          <w:szCs w:val="22"/>
          <w:vertAlign w:val="subscript"/>
          <w:lang w:eastAsia="ja-JP"/>
        </w:rPr>
        <w:t>red</w:t>
      </w:r>
      <w:r>
        <w:rPr>
          <w:sz w:val="22"/>
          <w:szCs w:val="22"/>
          <w:lang w:eastAsia="ja-JP"/>
        </w:rPr>
        <w:t xml:space="preserve"> + D</w:t>
      </w:r>
      <w:r>
        <w:rPr>
          <w:sz w:val="22"/>
          <w:szCs w:val="22"/>
          <w:vertAlign w:val="subscript"/>
          <w:lang w:eastAsia="ja-JP"/>
        </w:rPr>
        <w:t>ox</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sz w:val="22"/>
          <w:szCs w:val="22"/>
          <w:lang w:eastAsia="ja-JP"/>
        </w:rPr>
        <w:t>Consider E</w:t>
      </w:r>
      <w:r>
        <w:rPr>
          <w:sz w:val="22"/>
          <w:szCs w:val="22"/>
          <w:vertAlign w:val="superscript"/>
          <w:lang w:eastAsia="ja-JP"/>
        </w:rPr>
        <w:t>o</w:t>
      </w:r>
      <w:r>
        <w:rPr>
          <w:sz w:val="22"/>
          <w:szCs w:val="22"/>
          <w:vertAlign w:val="subscript"/>
          <w:lang w:eastAsia="ja-JP"/>
        </w:rPr>
        <w:t>cyt</w:t>
      </w:r>
      <w:r>
        <w:rPr>
          <w:sz w:val="22"/>
          <w:szCs w:val="22"/>
          <w:lang w:eastAsia="ja-JP"/>
        </w:rPr>
        <w:t xml:space="preserve"> and E</w:t>
      </w:r>
      <w:r>
        <w:rPr>
          <w:sz w:val="22"/>
          <w:szCs w:val="22"/>
          <w:vertAlign w:val="superscript"/>
          <w:lang w:eastAsia="ja-JP"/>
        </w:rPr>
        <w:t>o</w:t>
      </w:r>
      <w:r>
        <w:rPr>
          <w:sz w:val="22"/>
          <w:szCs w:val="22"/>
          <w:vertAlign w:val="subscript"/>
          <w:lang w:eastAsia="ja-JP"/>
        </w:rPr>
        <w:t>D</w:t>
      </w:r>
      <w:r>
        <w:rPr>
          <w:sz w:val="22"/>
          <w:szCs w:val="22"/>
          <w:lang w:eastAsia="ja-JP"/>
        </w:rPr>
        <w:t xml:space="preserve"> to be the standard potentials of cytochrome </w:t>
      </w:r>
      <w:r>
        <w:rPr>
          <w:i/>
          <w:iCs/>
          <w:sz w:val="22"/>
          <w:szCs w:val="22"/>
          <w:lang w:eastAsia="ja-JP"/>
        </w:rPr>
        <w:t>c</w:t>
      </w:r>
      <w:r>
        <w:rPr>
          <w:sz w:val="22"/>
          <w:szCs w:val="22"/>
          <w:lang w:eastAsia="ja-JP"/>
        </w:rPr>
        <w:t xml:space="preserve"> and D, respectively.  Show that, at equilibrium (eq), a plot of ln([D</w:t>
      </w:r>
      <w:r>
        <w:rPr>
          <w:sz w:val="22"/>
          <w:szCs w:val="22"/>
          <w:vertAlign w:val="subscript"/>
          <w:lang w:eastAsia="ja-JP"/>
        </w:rPr>
        <w:t>ox</w:t>
      </w:r>
      <w:r>
        <w:rPr>
          <w:sz w:val="22"/>
          <w:szCs w:val="22"/>
          <w:lang w:eastAsia="ja-JP"/>
        </w:rPr>
        <w:t>]</w:t>
      </w:r>
      <w:r>
        <w:rPr>
          <w:sz w:val="22"/>
          <w:szCs w:val="22"/>
          <w:vertAlign w:val="subscript"/>
          <w:lang w:eastAsia="ja-JP"/>
        </w:rPr>
        <w:t>eq</w:t>
      </w:r>
      <w:r>
        <w:rPr>
          <w:sz w:val="22"/>
          <w:szCs w:val="22"/>
          <w:lang w:eastAsia="ja-JP"/>
        </w:rPr>
        <w:t>/[D</w:t>
      </w:r>
      <w:r>
        <w:rPr>
          <w:sz w:val="22"/>
          <w:szCs w:val="22"/>
          <w:vertAlign w:val="subscript"/>
          <w:lang w:eastAsia="ja-JP"/>
        </w:rPr>
        <w:t>red</w:t>
      </w:r>
      <w:r>
        <w:rPr>
          <w:sz w:val="22"/>
          <w:szCs w:val="22"/>
          <w:lang w:eastAsia="ja-JP"/>
        </w:rPr>
        <w:t>]</w:t>
      </w:r>
      <w:r>
        <w:rPr>
          <w:sz w:val="22"/>
          <w:szCs w:val="22"/>
          <w:vertAlign w:val="subscript"/>
          <w:lang w:eastAsia="ja-JP"/>
        </w:rPr>
        <w:t>eq</w:t>
      </w:r>
      <w:r>
        <w:rPr>
          <w:sz w:val="22"/>
          <w:szCs w:val="22"/>
          <w:lang w:eastAsia="ja-JP"/>
        </w:rPr>
        <w:t>) against ln([cyt-</w:t>
      </w:r>
      <w:r>
        <w:rPr>
          <w:i/>
          <w:iCs/>
          <w:sz w:val="22"/>
          <w:szCs w:val="22"/>
          <w:lang w:eastAsia="ja-JP"/>
        </w:rPr>
        <w:t>c</w:t>
      </w:r>
      <w:r>
        <w:rPr>
          <w:sz w:val="22"/>
          <w:szCs w:val="22"/>
          <w:vertAlign w:val="subscript"/>
          <w:lang w:eastAsia="ja-JP"/>
        </w:rPr>
        <w:t>ox</w:t>
      </w:r>
      <w:r>
        <w:rPr>
          <w:sz w:val="22"/>
          <w:szCs w:val="22"/>
          <w:lang w:eastAsia="ja-JP"/>
        </w:rPr>
        <w:t>]</w:t>
      </w:r>
      <w:r>
        <w:rPr>
          <w:sz w:val="22"/>
          <w:szCs w:val="22"/>
          <w:vertAlign w:val="subscript"/>
          <w:lang w:eastAsia="ja-JP"/>
        </w:rPr>
        <w:t>eq</w:t>
      </w:r>
      <w:r>
        <w:rPr>
          <w:sz w:val="22"/>
          <w:szCs w:val="22"/>
          <w:lang w:eastAsia="ja-JP"/>
        </w:rPr>
        <w:t>/[cyt-</w:t>
      </w:r>
      <w:r>
        <w:rPr>
          <w:i/>
          <w:iCs/>
          <w:sz w:val="22"/>
          <w:szCs w:val="22"/>
          <w:lang w:eastAsia="ja-JP"/>
        </w:rPr>
        <w:t>c</w:t>
      </w:r>
      <w:r>
        <w:rPr>
          <w:sz w:val="22"/>
          <w:szCs w:val="22"/>
          <w:vertAlign w:val="subscript"/>
          <w:lang w:eastAsia="ja-JP"/>
        </w:rPr>
        <w:t>red</w:t>
      </w:r>
      <w:r>
        <w:rPr>
          <w:sz w:val="22"/>
          <w:szCs w:val="22"/>
          <w:lang w:eastAsia="ja-JP"/>
        </w:rPr>
        <w:t>]</w:t>
      </w:r>
      <w:r>
        <w:rPr>
          <w:sz w:val="22"/>
          <w:szCs w:val="22"/>
          <w:vertAlign w:val="subscript"/>
          <w:lang w:eastAsia="ja-JP"/>
        </w:rPr>
        <w:t>eq</w:t>
      </w:r>
      <w:r>
        <w:rPr>
          <w:sz w:val="22"/>
          <w:szCs w:val="22"/>
          <w:lang w:eastAsia="ja-JP"/>
        </w:rPr>
        <w:t xml:space="preserve">) is linear with a slope of 1 and </w:t>
      </w:r>
      <w:r>
        <w:rPr>
          <w:i/>
          <w:iCs/>
          <w:sz w:val="22"/>
          <w:szCs w:val="22"/>
          <w:lang w:eastAsia="ja-JP"/>
        </w:rPr>
        <w:t>y</w:t>
      </w:r>
      <w:r>
        <w:rPr>
          <w:sz w:val="22"/>
          <w:szCs w:val="22"/>
          <w:lang w:eastAsia="ja-JP"/>
        </w:rPr>
        <w:t xml:space="preserve">-intercept </w:t>
      </w:r>
    </w:p>
    <w:p>
      <w:pPr>
        <w:pStyle w:val="Normal"/>
        <w:ind w:start="-720" w:end="-720" w:hanging="0"/>
        <w:jc w:val="both"/>
        <w:rPr/>
      </w:pPr>
      <w:r>
        <w:rPr>
          <w:sz w:val="22"/>
          <w:szCs w:val="22"/>
          <w:lang w:eastAsia="ja-JP"/>
        </w:rPr>
        <w:t>F(E</w:t>
      </w:r>
      <w:r>
        <w:rPr>
          <w:sz w:val="22"/>
          <w:szCs w:val="22"/>
          <w:vertAlign w:val="superscript"/>
          <w:lang w:eastAsia="ja-JP"/>
        </w:rPr>
        <w:t>o</w:t>
      </w:r>
      <w:r>
        <w:rPr>
          <w:sz w:val="22"/>
          <w:szCs w:val="22"/>
          <w:vertAlign w:val="subscript"/>
          <w:lang w:eastAsia="ja-JP"/>
        </w:rPr>
        <w:t>cyt</w:t>
      </w:r>
      <w:r>
        <w:rPr>
          <w:sz w:val="22"/>
          <w:szCs w:val="22"/>
          <w:lang w:eastAsia="ja-JP"/>
        </w:rPr>
        <w:t>-E</w:t>
      </w:r>
      <w:r>
        <w:rPr>
          <w:sz w:val="22"/>
          <w:szCs w:val="22"/>
          <w:vertAlign w:val="superscript"/>
          <w:lang w:eastAsia="ja-JP"/>
        </w:rPr>
        <w:t>o</w:t>
      </w:r>
      <w:r>
        <w:rPr>
          <w:sz w:val="22"/>
          <w:szCs w:val="22"/>
          <w:vertAlign w:val="subscript"/>
          <w:lang w:eastAsia="ja-JP"/>
        </w:rPr>
        <w:t>D</w:t>
      </w:r>
      <w:r>
        <w:rPr>
          <w:sz w:val="22"/>
          <w:szCs w:val="22"/>
          <w:lang w:eastAsia="ja-JP"/>
        </w:rPr>
        <w:t xml:space="preserve">)/RT, where equilibrium activities are replaced by the numerical values of equilibrium molar concentrations. </w:t>
      </w:r>
      <w:r>
        <w:rPr>
          <w:i/>
          <w:iCs/>
          <w:sz w:val="22"/>
          <w:szCs w:val="22"/>
          <w:lang w:eastAsia="ja-JP"/>
        </w:rPr>
        <w:t>(10 pts)</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sz w:val="22"/>
          <w:szCs w:val="22"/>
          <w:lang w:eastAsia="ja-JP"/>
        </w:rPr>
        <w:t>(B) The following data were obtained for the reaction between oxidized cytochrome c and reduced D at pH 6.7 buffer and 298 K.  The ratios [D</w:t>
      </w:r>
      <w:r>
        <w:rPr>
          <w:sz w:val="22"/>
          <w:szCs w:val="22"/>
          <w:vertAlign w:val="subscript"/>
          <w:lang w:eastAsia="ja-JP"/>
        </w:rPr>
        <w:t>ox</w:t>
      </w:r>
      <w:r>
        <w:rPr>
          <w:sz w:val="22"/>
          <w:szCs w:val="22"/>
          <w:lang w:eastAsia="ja-JP"/>
        </w:rPr>
        <w:t>]</w:t>
      </w:r>
      <w:r>
        <w:rPr>
          <w:sz w:val="22"/>
          <w:szCs w:val="22"/>
          <w:vertAlign w:val="subscript"/>
          <w:lang w:eastAsia="ja-JP"/>
        </w:rPr>
        <w:t>eq</w:t>
      </w:r>
      <w:r>
        <w:rPr>
          <w:sz w:val="22"/>
          <w:szCs w:val="22"/>
          <w:lang w:eastAsia="ja-JP"/>
        </w:rPr>
        <w:t>/[D</w:t>
      </w:r>
      <w:r>
        <w:rPr>
          <w:sz w:val="22"/>
          <w:szCs w:val="22"/>
          <w:vertAlign w:val="subscript"/>
          <w:lang w:eastAsia="ja-JP"/>
        </w:rPr>
        <w:t>red</w:t>
      </w:r>
      <w:r>
        <w:rPr>
          <w:sz w:val="22"/>
          <w:szCs w:val="22"/>
          <w:lang w:eastAsia="ja-JP"/>
        </w:rPr>
        <w:t>]</w:t>
      </w:r>
      <w:r>
        <w:rPr>
          <w:sz w:val="22"/>
          <w:szCs w:val="22"/>
          <w:vertAlign w:val="subscript"/>
          <w:lang w:eastAsia="ja-JP"/>
        </w:rPr>
        <w:t>eq</w:t>
      </w:r>
      <w:r>
        <w:rPr>
          <w:sz w:val="22"/>
          <w:szCs w:val="22"/>
          <w:lang w:eastAsia="ja-JP"/>
        </w:rPr>
        <w:t xml:space="preserve"> and [cyt-</w:t>
      </w:r>
      <w:r>
        <w:rPr>
          <w:i/>
          <w:iCs/>
          <w:sz w:val="22"/>
          <w:szCs w:val="22"/>
          <w:lang w:eastAsia="ja-JP"/>
        </w:rPr>
        <w:t>c</w:t>
      </w:r>
      <w:r>
        <w:rPr>
          <w:sz w:val="22"/>
          <w:szCs w:val="22"/>
          <w:vertAlign w:val="subscript"/>
          <w:lang w:eastAsia="ja-JP"/>
        </w:rPr>
        <w:t>ox</w:t>
      </w:r>
      <w:r>
        <w:rPr>
          <w:sz w:val="22"/>
          <w:szCs w:val="22"/>
          <w:lang w:eastAsia="ja-JP"/>
        </w:rPr>
        <w:t>]</w:t>
      </w:r>
      <w:r>
        <w:rPr>
          <w:sz w:val="22"/>
          <w:szCs w:val="22"/>
          <w:vertAlign w:val="subscript"/>
          <w:lang w:eastAsia="ja-JP"/>
        </w:rPr>
        <w:t>eq</w:t>
      </w:r>
      <w:r>
        <w:rPr>
          <w:sz w:val="22"/>
          <w:szCs w:val="22"/>
          <w:lang w:eastAsia="ja-JP"/>
        </w:rPr>
        <w:t>/[cyt-</w:t>
      </w:r>
      <w:r>
        <w:rPr>
          <w:i/>
          <w:iCs/>
          <w:sz w:val="22"/>
          <w:szCs w:val="22"/>
          <w:lang w:eastAsia="ja-JP"/>
        </w:rPr>
        <w:t>c</w:t>
      </w:r>
      <w:r>
        <w:rPr>
          <w:sz w:val="22"/>
          <w:szCs w:val="22"/>
          <w:vertAlign w:val="subscript"/>
          <w:lang w:eastAsia="ja-JP"/>
        </w:rPr>
        <w:t>red</w:t>
      </w:r>
      <w:r>
        <w:rPr>
          <w:sz w:val="22"/>
          <w:szCs w:val="22"/>
          <w:lang w:eastAsia="ja-JP"/>
        </w:rPr>
        <w:t>]</w:t>
      </w:r>
      <w:r>
        <w:rPr>
          <w:sz w:val="22"/>
          <w:szCs w:val="22"/>
          <w:vertAlign w:val="subscript"/>
          <w:lang w:eastAsia="ja-JP"/>
        </w:rPr>
        <w:t>eq</w:t>
      </w:r>
      <w:r>
        <w:rPr>
          <w:sz w:val="22"/>
          <w:szCs w:val="22"/>
          <w:lang w:eastAsia="ja-JP"/>
        </w:rPr>
        <w:t xml:space="preserve"> were adjusted by adding known volumes of a solution of sodium ascorbate, a reducing agent, to a solution containing oxidized cytochrome </w:t>
      </w:r>
      <w:r>
        <w:rPr>
          <w:i/>
          <w:iCs/>
          <w:sz w:val="22"/>
          <w:szCs w:val="22"/>
          <w:lang w:eastAsia="ja-JP"/>
        </w:rPr>
        <w:t>c</w:t>
      </w:r>
      <w:r>
        <w:rPr>
          <w:sz w:val="22"/>
          <w:szCs w:val="22"/>
          <w:lang w:eastAsia="ja-JP"/>
        </w:rPr>
        <w:t xml:space="preserve"> and reduced D.  From the data and the standard potential of D of +0.237 V, determine the standard potential of cytochrome </w:t>
      </w:r>
      <w:r>
        <w:rPr>
          <w:i/>
          <w:iCs/>
          <w:sz w:val="22"/>
          <w:szCs w:val="22"/>
          <w:lang w:eastAsia="ja-JP"/>
        </w:rPr>
        <w:t>c</w:t>
      </w:r>
      <w:r>
        <w:rPr>
          <w:sz w:val="22"/>
          <w:szCs w:val="22"/>
          <w:lang w:eastAsia="ja-JP"/>
        </w:rPr>
        <w:t xml:space="preserve"> at pH=6.7 and 298 K.  Show and describe all plots and fits of the data for full credit. </w:t>
      </w:r>
      <w:r>
        <w:rPr>
          <w:i/>
          <w:iCs/>
          <w:sz w:val="22"/>
          <w:szCs w:val="22"/>
          <w:lang w:eastAsia="ja-JP"/>
        </w:rPr>
        <w:t>(15 pts)</w:t>
      </w:r>
    </w:p>
    <w:p>
      <w:pPr>
        <w:pStyle w:val="Normal"/>
        <w:ind w:start="-720" w:end="0" w:hanging="0"/>
        <w:jc w:val="both"/>
        <w:rPr>
          <w:sz w:val="22"/>
          <w:szCs w:val="22"/>
          <w:lang w:eastAsia="ja-JP"/>
        </w:rPr>
      </w:pPr>
      <w:r>
        <w:rPr>
          <w:sz w:val="22"/>
          <w:szCs w:val="22"/>
          <w:lang w:eastAsia="ja-JP"/>
        </w:rPr>
      </w:r>
    </w:p>
    <w:p>
      <w:pPr>
        <w:pStyle w:val="Normal"/>
        <w:ind w:start="-720" w:end="0" w:hanging="0"/>
        <w:jc w:val="both"/>
        <w:rPr/>
      </w:pPr>
      <w:r>
        <w:rPr>
          <w:b/>
          <w:bCs/>
          <w:sz w:val="22"/>
          <w:szCs w:val="22"/>
          <w:lang w:eastAsia="ja-JP"/>
        </w:rPr>
        <w:t>[D</w:t>
      </w:r>
      <w:r>
        <w:rPr>
          <w:b/>
          <w:bCs/>
          <w:sz w:val="22"/>
          <w:szCs w:val="22"/>
          <w:vertAlign w:val="subscript"/>
          <w:lang w:eastAsia="ja-JP"/>
        </w:rPr>
        <w:t>ox</w:t>
      </w:r>
      <w:r>
        <w:rPr>
          <w:b/>
          <w:bCs/>
          <w:sz w:val="22"/>
          <w:szCs w:val="22"/>
          <w:lang w:eastAsia="ja-JP"/>
        </w:rPr>
        <w:t>]</w:t>
      </w:r>
      <w:r>
        <w:rPr>
          <w:b/>
          <w:bCs/>
          <w:sz w:val="22"/>
          <w:szCs w:val="22"/>
          <w:vertAlign w:val="subscript"/>
          <w:lang w:eastAsia="ja-JP"/>
        </w:rPr>
        <w:t>eq</w:t>
      </w:r>
      <w:r>
        <w:rPr>
          <w:b/>
          <w:bCs/>
          <w:sz w:val="22"/>
          <w:szCs w:val="22"/>
          <w:lang w:eastAsia="ja-JP"/>
        </w:rPr>
        <w:t>/</w:t>
        <w:tab/>
      </w:r>
      <w:r>
        <w:rPr>
          <w:sz w:val="22"/>
          <w:szCs w:val="22"/>
          <w:lang w:eastAsia="ja-JP"/>
        </w:rPr>
        <w:tab/>
        <w:t>0.0031</w:t>
        <w:tab/>
        <w:t>0.0085</w:t>
        <w:tab/>
        <w:t>0.0257</w:t>
        <w:tab/>
        <w:t>0.0497</w:t>
        <w:tab/>
        <w:t>0.0953</w:t>
        <w:tab/>
        <w:t>0.2380</w:t>
        <w:tab/>
        <w:t>0.5330</w:t>
      </w:r>
    </w:p>
    <w:p>
      <w:pPr>
        <w:pStyle w:val="Normal"/>
        <w:ind w:start="-720" w:end="0" w:hanging="0"/>
        <w:jc w:val="both"/>
        <w:rPr/>
      </w:pPr>
      <w:r>
        <w:rPr>
          <w:b/>
          <w:bCs/>
          <w:sz w:val="22"/>
          <w:szCs w:val="22"/>
          <w:lang w:eastAsia="ja-JP"/>
        </w:rPr>
        <w:t>[D</w:t>
      </w:r>
      <w:r>
        <w:rPr>
          <w:b/>
          <w:bCs/>
          <w:sz w:val="22"/>
          <w:szCs w:val="22"/>
          <w:vertAlign w:val="subscript"/>
          <w:lang w:eastAsia="ja-JP"/>
        </w:rPr>
        <w:t>red</w:t>
      </w:r>
      <w:r>
        <w:rPr>
          <w:b/>
          <w:bCs/>
          <w:sz w:val="22"/>
          <w:szCs w:val="22"/>
          <w:lang w:eastAsia="ja-JP"/>
        </w:rPr>
        <w:t>]</w:t>
      </w:r>
      <w:r>
        <w:rPr>
          <w:b/>
          <w:bCs/>
          <w:sz w:val="22"/>
          <w:szCs w:val="22"/>
          <w:vertAlign w:val="subscript"/>
          <w:lang w:eastAsia="ja-JP"/>
        </w:rPr>
        <w:t>eq</w:t>
      </w:r>
    </w:p>
    <w:p>
      <w:pPr>
        <w:pStyle w:val="Normal"/>
        <w:ind w:start="-720" w:end="0" w:hanging="0"/>
        <w:jc w:val="both"/>
        <w:rPr>
          <w:sz w:val="22"/>
          <w:szCs w:val="22"/>
          <w:lang w:eastAsia="ja-JP"/>
        </w:rPr>
      </w:pPr>
      <w:r>
        <w:rPr>
          <w:sz w:val="22"/>
          <w:szCs w:val="22"/>
          <w:lang w:eastAsia="ja-JP"/>
        </w:rPr>
      </w:r>
    </w:p>
    <w:p>
      <w:pPr>
        <w:pStyle w:val="Normal"/>
        <w:ind w:start="-720" w:end="0" w:hanging="0"/>
        <w:jc w:val="both"/>
        <w:rPr/>
      </w:pPr>
      <w:r>
        <w:rPr>
          <w:b/>
          <w:bCs/>
          <w:sz w:val="22"/>
          <w:szCs w:val="22"/>
          <w:lang w:eastAsia="ja-JP"/>
        </w:rPr>
        <w:t>[cyt-</w:t>
      </w:r>
      <w:r>
        <w:rPr>
          <w:b/>
          <w:bCs/>
          <w:i/>
          <w:iCs/>
          <w:sz w:val="22"/>
          <w:szCs w:val="22"/>
          <w:lang w:eastAsia="ja-JP"/>
        </w:rPr>
        <w:t>c</w:t>
      </w:r>
      <w:r>
        <w:rPr>
          <w:b/>
          <w:bCs/>
          <w:sz w:val="22"/>
          <w:szCs w:val="22"/>
          <w:vertAlign w:val="subscript"/>
          <w:lang w:eastAsia="ja-JP"/>
        </w:rPr>
        <w:t>ox</w:t>
      </w:r>
      <w:r>
        <w:rPr>
          <w:b/>
          <w:bCs/>
          <w:sz w:val="22"/>
          <w:szCs w:val="22"/>
          <w:lang w:eastAsia="ja-JP"/>
        </w:rPr>
        <w:t>]</w:t>
      </w:r>
      <w:r>
        <w:rPr>
          <w:b/>
          <w:bCs/>
          <w:sz w:val="22"/>
          <w:szCs w:val="22"/>
          <w:vertAlign w:val="subscript"/>
          <w:lang w:eastAsia="ja-JP"/>
        </w:rPr>
        <w:t>eq</w:t>
      </w:r>
      <w:r>
        <w:rPr>
          <w:b/>
          <w:bCs/>
          <w:sz w:val="22"/>
          <w:szCs w:val="22"/>
          <w:lang w:eastAsia="ja-JP"/>
        </w:rPr>
        <w:t>/</w:t>
      </w:r>
      <w:r>
        <w:rPr>
          <w:sz w:val="22"/>
          <w:szCs w:val="22"/>
          <w:lang w:eastAsia="ja-JP"/>
        </w:rPr>
        <w:tab/>
        <w:t>0.0110</w:t>
        <w:tab/>
        <w:t>0.0310</w:t>
        <w:tab/>
        <w:t>0.0894</w:t>
        <w:tab/>
        <w:t>0.1970</w:t>
        <w:tab/>
        <w:t>0.3350</w:t>
        <w:tab/>
        <w:t>0.8090</w:t>
        <w:tab/>
        <w:t>1.8850</w:t>
      </w:r>
    </w:p>
    <w:p>
      <w:pPr>
        <w:pStyle w:val="Normal"/>
        <w:ind w:start="-720" w:end="0" w:hanging="0"/>
        <w:jc w:val="both"/>
        <w:rPr/>
      </w:pPr>
      <w:r>
        <w:rPr>
          <w:b/>
          <w:bCs/>
          <w:sz w:val="22"/>
          <w:szCs w:val="22"/>
          <w:lang w:eastAsia="ja-JP"/>
        </w:rPr>
        <w:t>[cyt-</w:t>
      </w:r>
      <w:r>
        <w:rPr>
          <w:b/>
          <w:bCs/>
          <w:i/>
          <w:iCs/>
          <w:sz w:val="22"/>
          <w:szCs w:val="22"/>
          <w:lang w:eastAsia="ja-JP"/>
        </w:rPr>
        <w:t>c</w:t>
      </w:r>
      <w:r>
        <w:rPr>
          <w:b/>
          <w:bCs/>
          <w:sz w:val="22"/>
          <w:szCs w:val="22"/>
          <w:vertAlign w:val="subscript"/>
          <w:lang w:eastAsia="ja-JP"/>
        </w:rPr>
        <w:t>red</w:t>
      </w:r>
      <w:r>
        <w:rPr>
          <w:b/>
          <w:bCs/>
          <w:sz w:val="22"/>
          <w:szCs w:val="22"/>
          <w:lang w:eastAsia="ja-JP"/>
        </w:rPr>
        <w:t>]</w:t>
      </w:r>
      <w:r>
        <w:rPr>
          <w:b/>
          <w:bCs/>
          <w:sz w:val="22"/>
          <w:szCs w:val="22"/>
          <w:vertAlign w:val="subscript"/>
          <w:lang w:eastAsia="ja-JP"/>
        </w:rPr>
        <w:t>eq</w:t>
      </w:r>
    </w:p>
    <w:p>
      <w:pPr>
        <w:pStyle w:val="Normal"/>
        <w:ind w:start="-720" w:end="0" w:hanging="0"/>
        <w:jc w:val="both"/>
        <w:rPr>
          <w:sz w:val="22"/>
          <w:szCs w:val="22"/>
          <w:lang w:eastAsia="ja-JP"/>
        </w:rPr>
      </w:pPr>
      <w:r>
        <w:rPr>
          <w:sz w:val="22"/>
          <w:szCs w:val="22"/>
          <w:lang w:eastAsia="ja-JP"/>
        </w:rPr>
      </w:r>
    </w:p>
    <w:p>
      <w:pPr>
        <w:pStyle w:val="Normal"/>
        <w:ind w:start="-720" w:end="0" w:hanging="0"/>
        <w:jc w:val="both"/>
        <w:rPr>
          <w:sz w:val="22"/>
          <w:szCs w:val="22"/>
          <w:lang w:eastAsia="ja-JP"/>
        </w:rPr>
      </w:pPr>
      <w:r>
        <w:rPr>
          <w:sz w:val="22"/>
          <w:szCs w:val="22"/>
          <w:lang w:eastAsia="ja-JP"/>
        </w:rPr>
      </w:r>
    </w:p>
    <w:p>
      <w:pPr>
        <w:pStyle w:val="Normal"/>
        <w:ind w:start="-720" w:end="-720" w:hanging="0"/>
        <w:jc w:val="both"/>
        <w:rPr>
          <w:sz w:val="22"/>
          <w:szCs w:val="22"/>
          <w:lang w:eastAsia="ja-JP"/>
        </w:rPr>
      </w:pPr>
      <w:r>
        <w:rPr>
          <w:sz w:val="22"/>
          <w:szCs w:val="22"/>
          <w:lang w:eastAsia="ja-JP"/>
        </w:rPr>
        <w:t>3. (A) Make an appropriate Arrhenius plot of the following data for the binding of an inhibitor to the enzyme carbonic anhydrase and calculate (B) the activation energy and (C) the pre-exponential factor for the reaction.  Show and describe all plots and fits of the data for full credit.  (A) 10 pts, (B) 10 pts and (C) 5 pts.</w:t>
      </w:r>
    </w:p>
    <w:p>
      <w:pPr>
        <w:pStyle w:val="Normal"/>
        <w:ind w:start="-720" w:end="-720" w:hanging="0"/>
        <w:jc w:val="both"/>
        <w:rPr>
          <w:sz w:val="22"/>
          <w:szCs w:val="22"/>
          <w:lang w:eastAsia="ja-JP"/>
        </w:rPr>
      </w:pPr>
      <w:r>
        <w:rPr>
          <w:sz w:val="22"/>
          <w:szCs w:val="22"/>
          <w:lang w:eastAsia="ja-JP"/>
        </w:rPr>
      </w:r>
    </w:p>
    <w:p>
      <w:pPr>
        <w:pStyle w:val="Normal"/>
        <w:ind w:start="-720" w:end="-720" w:hanging="0"/>
        <w:jc w:val="both"/>
        <w:rPr/>
      </w:pPr>
      <w:r>
        <w:rPr>
          <w:b/>
          <w:bCs/>
          <w:sz w:val="22"/>
          <w:szCs w:val="22"/>
          <w:lang w:eastAsia="ja-JP"/>
        </w:rPr>
        <w:t>T/K</w:t>
        <w:tab/>
        <w:tab/>
        <w:tab/>
        <w:tab/>
      </w:r>
      <w:r>
        <w:rPr>
          <w:sz w:val="22"/>
          <w:szCs w:val="22"/>
          <w:lang w:eastAsia="ja-JP"/>
        </w:rPr>
        <w:t>275</w:t>
        <w:tab/>
        <w:tab/>
        <w:t>285</w:t>
        <w:tab/>
        <w:tab/>
        <w:t>295</w:t>
        <w:tab/>
        <w:tab/>
        <w:t>305</w:t>
        <w:tab/>
        <w:tab/>
        <w:t>315</w:t>
        <w:tab/>
        <w:tab/>
        <w:t>325</w:t>
      </w:r>
    </w:p>
    <w:p>
      <w:pPr>
        <w:pStyle w:val="Normal"/>
        <w:ind w:start="-720" w:end="-720" w:hanging="0"/>
        <w:jc w:val="both"/>
        <w:rPr/>
      </w:pPr>
      <w:r>
        <w:rPr>
          <w:b/>
          <w:bCs/>
          <w:i/>
          <w:iCs/>
          <w:sz w:val="22"/>
          <w:szCs w:val="22"/>
          <w:lang w:eastAsia="ja-JP"/>
        </w:rPr>
        <w:t>k</w:t>
      </w:r>
      <w:r>
        <w:rPr>
          <w:b/>
          <w:bCs/>
          <w:sz w:val="22"/>
          <w:szCs w:val="22"/>
          <w:vertAlign w:val="subscript"/>
          <w:lang w:eastAsia="ja-JP"/>
        </w:rPr>
        <w:t>r</w:t>
      </w:r>
      <w:r>
        <w:rPr>
          <w:b/>
          <w:bCs/>
          <w:sz w:val="22"/>
          <w:szCs w:val="22"/>
          <w:lang w:eastAsia="ja-JP"/>
        </w:rPr>
        <w:t>/(10</w:t>
      </w:r>
      <w:r>
        <w:rPr>
          <w:b/>
          <w:bCs/>
          <w:sz w:val="22"/>
          <w:szCs w:val="22"/>
          <w:vertAlign w:val="superscript"/>
          <w:lang w:eastAsia="ja-JP"/>
        </w:rPr>
        <w:t>6</w:t>
      </w:r>
      <w:r>
        <w:rPr>
          <w:b/>
          <w:bCs/>
          <w:sz w:val="22"/>
          <w:szCs w:val="22"/>
          <w:lang w:eastAsia="ja-JP"/>
        </w:rPr>
        <w:t xml:space="preserve"> dm</w:t>
      </w:r>
      <w:r>
        <w:rPr>
          <w:b/>
          <w:bCs/>
          <w:sz w:val="22"/>
          <w:szCs w:val="22"/>
          <w:vertAlign w:val="superscript"/>
          <w:lang w:eastAsia="ja-JP"/>
        </w:rPr>
        <w:t>3</w:t>
      </w:r>
      <w:r>
        <w:rPr>
          <w:b/>
          <w:bCs/>
          <w:sz w:val="22"/>
          <w:szCs w:val="22"/>
          <w:lang w:eastAsia="ja-JP"/>
        </w:rPr>
        <w:t xml:space="preserve"> mol</w:t>
      </w:r>
      <w:r>
        <w:rPr>
          <w:b/>
          <w:bCs/>
          <w:sz w:val="22"/>
          <w:szCs w:val="22"/>
          <w:vertAlign w:val="superscript"/>
          <w:lang w:eastAsia="ja-JP"/>
        </w:rPr>
        <w:t>-1</w:t>
      </w:r>
      <w:r>
        <w:rPr>
          <w:b/>
          <w:bCs/>
          <w:sz w:val="22"/>
          <w:szCs w:val="22"/>
          <w:lang w:eastAsia="ja-JP"/>
        </w:rPr>
        <w:t xml:space="preserve"> s</w:t>
      </w:r>
      <w:r>
        <w:rPr>
          <w:b/>
          <w:bCs/>
          <w:sz w:val="22"/>
          <w:szCs w:val="22"/>
          <w:vertAlign w:val="superscript"/>
          <w:lang w:eastAsia="ja-JP"/>
        </w:rPr>
        <w:t>-1</w:t>
      </w:r>
      <w:r>
        <w:rPr>
          <w:b/>
          <w:bCs/>
          <w:sz w:val="22"/>
          <w:szCs w:val="22"/>
          <w:lang w:eastAsia="ja-JP"/>
        </w:rPr>
        <w:t>)</w:t>
        <w:tab/>
      </w:r>
      <w:r>
        <w:rPr>
          <w:sz w:val="22"/>
          <w:szCs w:val="22"/>
          <w:lang w:eastAsia="ja-JP"/>
        </w:rPr>
        <w:t>1.01</w:t>
        <w:tab/>
        <w:tab/>
        <w:t>1.22</w:t>
        <w:tab/>
        <w:tab/>
        <w:t>1.55</w:t>
        <w:tab/>
        <w:tab/>
        <w:t>1.91</w:t>
        <w:tab/>
        <w:tab/>
        <w:t>2.35</w:t>
        <w:tab/>
        <w:tab/>
        <w:t>2.85</w:t>
      </w:r>
    </w:p>
    <w:p>
      <w:pPr>
        <w:pStyle w:val="Normal"/>
        <w:ind w:start="-720" w:end="-720" w:hanging="0"/>
        <w:jc w:val="both"/>
        <w:rPr>
          <w:lang w:eastAsia="ja-JP"/>
        </w:rPr>
      </w:pPr>
      <w:r>
        <w:rPr>
          <w:lang w:eastAsia="ja-JP"/>
        </w:rPr>
      </w:r>
    </w:p>
    <w:p>
      <w:pPr>
        <w:pStyle w:val="Normal"/>
        <w:spacing w:before="200" w:after="0"/>
        <w:ind w:start="-720" w:end="-720" w:hanging="0"/>
        <w:jc w:val="both"/>
        <w:rPr/>
      </w:pPr>
      <w:r>
        <w:rPr>
          <w:sz w:val="22"/>
          <w:szCs w:val="22"/>
          <w:lang w:eastAsia="ja-JP"/>
        </w:rPr>
        <w:t>4. Prebiotic reactions are reactions that might have occurred under the conditions prevalent on the Earth before the first living creatures emerged and can lead to analogs of molecules necessary for life as we now know it.  To qualify, a reaction must proceed with a favorable rate and have a reasonable value for the equilibrium constant.  An example of a prebiotic reaction is the formation of 5-hydroxymethuracil (HMU) from uracil and formaldehyde.  Amino acid analogs can be formed from HMU under prebiotic conditions by reaction with various nucleophiles, such as H</w:t>
      </w:r>
      <w:r>
        <w:rPr>
          <w:sz w:val="22"/>
          <w:szCs w:val="22"/>
          <w:vertAlign w:val="subscript"/>
          <w:lang w:eastAsia="ja-JP"/>
        </w:rPr>
        <w:t>2</w:t>
      </w:r>
      <w:r>
        <w:rPr>
          <w:sz w:val="22"/>
          <w:szCs w:val="22"/>
          <w:lang w:eastAsia="ja-JP"/>
        </w:rPr>
        <w:t>S, HCN, indole and imidazole.  For the synthesis of HMU at pH = 7, the temperature dependence of the rate constant is given by</w:t>
      </w:r>
    </w:p>
    <w:p>
      <w:pPr>
        <w:pStyle w:val="Normal"/>
        <w:spacing w:before="200" w:after="0"/>
        <w:ind w:start="-720" w:end="-720" w:hanging="0"/>
        <w:jc w:val="both"/>
        <w:rPr/>
      </w:pPr>
      <w:r>
        <w:rPr>
          <w:sz w:val="22"/>
          <w:szCs w:val="22"/>
          <w:lang w:eastAsia="ja-JP"/>
        </w:rPr>
        <w:t>log</w:t>
      </w:r>
      <w:r>
        <w:rPr>
          <w:i/>
          <w:iCs/>
          <w:sz w:val="22"/>
          <w:szCs w:val="22"/>
          <w:lang w:eastAsia="ja-JP"/>
        </w:rPr>
        <w:t xml:space="preserve"> k</w:t>
      </w:r>
      <w:r>
        <w:rPr>
          <w:sz w:val="22"/>
          <w:szCs w:val="22"/>
          <w:vertAlign w:val="subscript"/>
          <w:lang w:eastAsia="ja-JP"/>
        </w:rPr>
        <w:t>r</w:t>
      </w:r>
      <w:r>
        <w:rPr>
          <w:sz w:val="22"/>
          <w:szCs w:val="22"/>
          <w:lang w:eastAsia="ja-JP"/>
        </w:rPr>
        <w:t>/(10</w:t>
      </w:r>
      <w:r>
        <w:rPr>
          <w:sz w:val="22"/>
          <w:szCs w:val="22"/>
          <w:vertAlign w:val="superscript"/>
          <w:lang w:eastAsia="ja-JP"/>
        </w:rPr>
        <w:t>6</w:t>
      </w:r>
      <w:r>
        <w:rPr>
          <w:sz w:val="22"/>
          <w:szCs w:val="22"/>
          <w:lang w:eastAsia="ja-JP"/>
        </w:rPr>
        <w:t xml:space="preserve"> dm</w:t>
      </w:r>
      <w:r>
        <w:rPr>
          <w:sz w:val="22"/>
          <w:szCs w:val="22"/>
          <w:vertAlign w:val="superscript"/>
          <w:lang w:eastAsia="ja-JP"/>
        </w:rPr>
        <w:t>3</w:t>
      </w:r>
      <w:r>
        <w:rPr>
          <w:sz w:val="22"/>
          <w:szCs w:val="22"/>
          <w:lang w:eastAsia="ja-JP"/>
        </w:rPr>
        <w:t xml:space="preserve"> mol</w:t>
      </w:r>
      <w:r>
        <w:rPr>
          <w:sz w:val="22"/>
          <w:szCs w:val="22"/>
          <w:vertAlign w:val="superscript"/>
          <w:lang w:eastAsia="ja-JP"/>
        </w:rPr>
        <w:t>-1</w:t>
      </w:r>
      <w:r>
        <w:rPr>
          <w:sz w:val="22"/>
          <w:szCs w:val="22"/>
          <w:lang w:eastAsia="ja-JP"/>
        </w:rPr>
        <w:t xml:space="preserve"> s</w:t>
      </w:r>
      <w:r>
        <w:rPr>
          <w:sz w:val="22"/>
          <w:szCs w:val="22"/>
          <w:vertAlign w:val="superscript"/>
          <w:lang w:eastAsia="ja-JP"/>
        </w:rPr>
        <w:t>-1</w:t>
      </w:r>
      <w:r>
        <w:rPr>
          <w:sz w:val="22"/>
          <w:szCs w:val="22"/>
          <w:lang w:eastAsia="ja-JP"/>
        </w:rPr>
        <w:t>) = 11.8 - 5500/(T/K)</w:t>
      </w:r>
    </w:p>
    <w:p>
      <w:pPr>
        <w:pStyle w:val="Normal"/>
        <w:spacing w:before="200" w:after="0"/>
        <w:ind w:start="-720" w:end="-720" w:hanging="0"/>
        <w:jc w:val="both"/>
        <w:rPr>
          <w:sz w:val="22"/>
          <w:szCs w:val="22"/>
          <w:lang w:eastAsia="ja-JP"/>
        </w:rPr>
      </w:pPr>
      <w:r>
        <w:rPr>
          <w:sz w:val="22"/>
          <w:szCs w:val="22"/>
          <w:lang w:eastAsia="ja-JP"/>
        </w:rPr>
        <w:t xml:space="preserve">and the temperature dependence of the equilibrium constant is given by </w:t>
      </w:r>
    </w:p>
    <w:p>
      <w:pPr>
        <w:pStyle w:val="Normal"/>
        <w:spacing w:before="200" w:after="0"/>
        <w:ind w:start="-720" w:end="-720" w:hanging="0"/>
        <w:jc w:val="both"/>
        <w:rPr/>
      </w:pPr>
      <w:r>
        <w:rPr>
          <w:sz w:val="22"/>
          <w:szCs w:val="22"/>
          <w:lang w:eastAsia="ja-JP"/>
        </w:rPr>
        <w:t>log</w:t>
      </w:r>
      <w:r>
        <w:rPr>
          <w:i/>
          <w:iCs/>
          <w:sz w:val="22"/>
          <w:szCs w:val="22"/>
          <w:lang w:eastAsia="ja-JP"/>
        </w:rPr>
        <w:t xml:space="preserve"> K</w:t>
      </w:r>
      <w:r>
        <w:rPr>
          <w:sz w:val="22"/>
          <w:szCs w:val="22"/>
          <w:lang w:eastAsia="ja-JP"/>
        </w:rPr>
        <w:t xml:space="preserve"> = -1.4 + 1800/(T/K)</w:t>
      </w:r>
    </w:p>
    <w:p>
      <w:pPr>
        <w:pStyle w:val="Normal"/>
        <w:spacing w:before="200" w:after="0"/>
        <w:ind w:start="-720" w:end="-720" w:hanging="0"/>
        <w:jc w:val="both"/>
        <w:rPr/>
      </w:pPr>
      <w:r>
        <w:rPr>
          <w:sz w:val="22"/>
          <w:szCs w:val="22"/>
          <w:lang w:eastAsia="ja-JP"/>
        </w:rPr>
        <w:t>(A) Calculate the rate constants and equilibrium constants over a range of temperature corresponding to possible prebiotic conditions, such as 0-50</w:t>
      </w:r>
      <w:r>
        <w:rPr>
          <w:sz w:val="22"/>
          <w:szCs w:val="22"/>
          <w:vertAlign w:val="superscript"/>
          <w:lang w:eastAsia="ja-JP"/>
        </w:rPr>
        <w:t>o</w:t>
      </w:r>
      <w:r>
        <w:rPr>
          <w:sz w:val="22"/>
          <w:szCs w:val="22"/>
          <w:lang w:eastAsia="ja-JP"/>
        </w:rPr>
        <w:t>C, and plot them against temperature</w:t>
      </w:r>
      <w:r>
        <w:rPr>
          <w:i/>
          <w:iCs/>
          <w:sz w:val="22"/>
          <w:szCs w:val="22"/>
          <w:lang w:eastAsia="ja-JP"/>
        </w:rPr>
        <w:t>. (10 pts)</w:t>
      </w:r>
      <w:r>
        <w:rPr>
          <w:sz w:val="22"/>
          <w:szCs w:val="22"/>
          <w:lang w:eastAsia="ja-JP"/>
        </w:rPr>
        <w:t xml:space="preserve">  (B) Calculate the activation energy and the standard reaction Gibbs energy and enthalpy at 25</w:t>
      </w:r>
      <w:r>
        <w:rPr>
          <w:sz w:val="22"/>
          <w:szCs w:val="22"/>
          <w:vertAlign w:val="superscript"/>
          <w:lang w:eastAsia="ja-JP"/>
        </w:rPr>
        <w:t>o</w:t>
      </w:r>
      <w:r>
        <w:rPr>
          <w:sz w:val="22"/>
          <w:szCs w:val="22"/>
          <w:lang w:eastAsia="ja-JP"/>
        </w:rPr>
        <w:t xml:space="preserve">C. </w:t>
      </w:r>
      <w:r>
        <w:rPr>
          <w:i/>
          <w:iCs/>
          <w:sz w:val="22"/>
          <w:szCs w:val="22"/>
          <w:lang w:eastAsia="ja-JP"/>
        </w:rPr>
        <w:t>(10 pts)</w:t>
      </w:r>
      <w:r>
        <w:rPr>
          <w:sz w:val="22"/>
          <w:szCs w:val="22"/>
          <w:lang w:eastAsia="ja-JP"/>
        </w:rPr>
        <w:t xml:space="preserve"> (C) Prebiotic conditions are not likely to be standard conditions.  Speculate about how the actual values of the reaction Gibbs energy and enthalpy might differ from standard values.  Do you expect that the reaction would still be favorable? </w:t>
      </w:r>
      <w:r>
        <w:rPr>
          <w:i/>
          <w:iCs/>
          <w:sz w:val="22"/>
          <w:szCs w:val="22"/>
          <w:lang w:eastAsia="ja-JP"/>
        </w:rPr>
        <w:t>(5 pts)</w:t>
      </w:r>
    </w:p>
    <w:p>
      <w:pPr>
        <w:pStyle w:val="NormalText"/>
        <w:ind w:start="-720" w:end="-450" w:hanging="0"/>
        <w:jc w:val="both"/>
        <w:rPr>
          <w:sz w:val="22"/>
          <w:szCs w:val="22"/>
        </w:rPr>
      </w:pPr>
      <w:r>
        <w:rPr>
          <w:sz w:val="22"/>
          <w:szCs w:val="22"/>
        </w:rPr>
      </w:r>
    </w:p>
    <w:p>
      <w:pPr>
        <w:pStyle w:val="NormalText"/>
        <w:ind w:start="-720" w:end="-450" w:hanging="0"/>
        <w:jc w:val="both"/>
        <w:rPr>
          <w:sz w:val="22"/>
          <w:szCs w:val="22"/>
        </w:rPr>
      </w:pPr>
      <w:r>
        <w:rPr>
          <w:sz w:val="22"/>
          <w:szCs w:val="22"/>
        </w:rPr>
      </w:r>
    </w:p>
    <w:p>
      <w:pPr>
        <w:pStyle w:val="NormalText"/>
        <w:ind w:start="-720" w:end="-720" w:hanging="0"/>
        <w:jc w:val="both"/>
        <w:rPr/>
      </w:pPr>
      <w:r>
        <w:rPr>
          <w:b/>
          <w:bCs/>
          <w:color w:val="auto"/>
          <w:sz w:val="22"/>
          <w:szCs w:val="22"/>
        </w:rPr>
        <w:t>Extra Credit:</w:t>
      </w:r>
      <w:r>
        <w:rPr>
          <w:color w:val="auto"/>
          <w:sz w:val="22"/>
          <w:szCs w:val="22"/>
        </w:rPr>
        <w:t xml:space="preserve"> </w:t>
      </w:r>
      <w:r>
        <w:rPr>
          <w:i/>
          <w:iCs/>
          <w:color w:val="auto"/>
          <w:sz w:val="22"/>
          <w:szCs w:val="22"/>
        </w:rPr>
        <w:t>(15 pts)</w:t>
      </w:r>
      <w:r>
        <w:rPr>
          <w:color w:val="auto"/>
          <w:sz w:val="22"/>
          <w:szCs w:val="22"/>
        </w:rPr>
        <w:t xml:space="preserve"> There are numerous scientific journal articles that cover all the topics and problems on this exam.  Going back and looking at the original experiments, data, data analysis, plots, calculations, etc can be an excellent source to better and more fully understand a specific topic.  For example, problem 3 on this exam is basically the same as suggested homework problem 6.39, except the data provided is different.  This difference in data is because there are several isoenzymes of carbonic anhydrase.  This comes from a specific journal article and the citation is given below.  Look up this journal article and read it over.  Compare the data given in homework problem 6.39 and in problem 3 on this exam, with the data provided in the journal article for human isoenzymes B and C.  Can you predict whether the data given in homework problem 6.39 was uncatalyzed or a catalyzed reaction? and what about the data from problem 3 on this exam? </w:t>
      </w:r>
    </w:p>
    <w:p>
      <w:pPr>
        <w:pStyle w:val="NormalText"/>
        <w:ind w:start="-720" w:end="-720" w:hanging="0"/>
        <w:jc w:val="both"/>
        <w:rPr>
          <w:color w:val="auto"/>
          <w:sz w:val="22"/>
          <w:szCs w:val="22"/>
        </w:rPr>
      </w:pPr>
      <w:r>
        <w:rPr>
          <w:color w:val="auto"/>
          <w:sz w:val="22"/>
          <w:szCs w:val="22"/>
        </w:rPr>
      </w:r>
    </w:p>
    <w:p>
      <w:pPr>
        <w:pStyle w:val="NormalText"/>
        <w:ind w:start="-720" w:end="-720" w:hanging="0"/>
        <w:jc w:val="both"/>
        <w:rPr/>
      </w:pPr>
      <w:r>
        <w:rPr>
          <w:color w:val="auto"/>
          <w:sz w:val="22"/>
          <w:szCs w:val="22"/>
        </w:rPr>
        <w:t xml:space="preserve">G. Sanyal, T. H. Maren, Thermodynamics of Carbonic Anhydrase Catalysis: A Comparison Between Human Isoenzymes B and C. </w:t>
      </w:r>
      <w:r>
        <w:rPr>
          <w:i/>
          <w:iCs/>
          <w:color w:val="auto"/>
          <w:sz w:val="22"/>
          <w:szCs w:val="22"/>
        </w:rPr>
        <w:t>The Journal of Biological Chemistry</w:t>
      </w:r>
      <w:r>
        <w:rPr>
          <w:color w:val="auto"/>
          <w:sz w:val="22"/>
          <w:szCs w:val="22"/>
        </w:rPr>
        <w:t xml:space="preserve">, </w:t>
      </w:r>
      <w:r>
        <w:rPr>
          <w:b/>
          <w:bCs/>
          <w:color w:val="auto"/>
          <w:sz w:val="22"/>
          <w:szCs w:val="22"/>
        </w:rPr>
        <w:t>256(2),</w:t>
      </w:r>
      <w:r>
        <w:rPr>
          <w:color w:val="auto"/>
          <w:sz w:val="22"/>
          <w:szCs w:val="22"/>
        </w:rPr>
        <w:t xml:space="preserve"> 608-612 (1981).</w:t>
      </w:r>
    </w:p>
    <w:p>
      <w:pPr>
        <w:pStyle w:val="NormalText"/>
        <w:ind w:start="-720" w:end="-720" w:hanging="0"/>
        <w:jc w:val="both"/>
        <w:rPr>
          <w:sz w:val="22"/>
          <w:szCs w:val="22"/>
        </w:rPr>
      </w:pPr>
      <w:r>
        <w:rPr>
          <w:sz w:val="22"/>
          <w:szCs w:val="22"/>
        </w:rPr>
      </w:r>
    </w:p>
    <w:p>
      <w:pPr>
        <w:pStyle w:val="NormalText"/>
        <w:ind w:start="-720" w:end="-720" w:hanging="0"/>
        <w:jc w:val="both"/>
        <w:rPr/>
      </w:pPr>
      <w:r>
        <w:rPr/>
      </w:r>
    </w:p>
    <w:sectPr>
      <w:footerReference w:type="default" r:id="rId2"/>
      <w:type w:val="nextPage"/>
      <w:pgSz w:w="12240" w:h="15840"/>
      <w:pgMar w:left="1800" w:right="1800" w:header="0" w:top="630" w:footer="530" w:bottom="720" w:gutter="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OpenSymbol">
    <w:altName w:val="Arial Unicode MS"/>
    <w:charset w:val="01" w:characterSet="utf-8"/>
    <w:family w:val="roman"/>
    <w:pitch w:val="variable"/>
  </w:font>
  <w:font w:name="Liberation Sans">
    <w:altName w:val="Arial"/>
    <w:charset w:val="01" w:characterSet="utf-8"/>
    <w:family w:val="roman"/>
    <w:pitch w:val="variable"/>
  </w:font>
  <w:font w:name="Lucida Grande">
    <w:charset w:val="01" w:characterSet="utf-8"/>
    <w:family w:val="roman"/>
    <w:pitch w:val="variable"/>
  </w:font>
  <w:font w:name="Arial">
    <w:charset w:val="01" w:characterSet="utf-8"/>
    <w:family w:val="roman"/>
    <w:pitch w:val="variable"/>
  </w:font>
  <w:font w:name="Proxima Nova">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Style w:val="Pagenumber"/>
      </w:rPr>
      <w:t xml:space="preserve">Page </w:t>
    </w:r>
    <w:r>
      <w:rPr>
        <w:rStyle w:val="Pagenumber"/>
      </w:rPr>
      <w:fldChar w:fldCharType="begin"/>
    </w:r>
    <w:r>
      <w:rPr>
        <w:rStyle w:val="Pagenumber"/>
      </w:rPr>
      <w:instrText> PAGE </w:instrText>
    </w:r>
    <w:r>
      <w:rPr>
        <w:rStyle w:val="Pagenumber"/>
      </w:rPr>
      <w:fldChar w:fldCharType="separate"/>
    </w:r>
    <w:r>
      <w:rPr>
        <w:rStyle w:val="Pagenumber"/>
      </w:rPr>
      <w:t>3</w:t>
    </w:r>
    <w:r>
      <w:rPr>
        <w:rStyle w:val="Pagenumber"/>
      </w:rPr>
      <w:fldChar w:fldCharType="end"/>
    </w:r>
  </w:p>
</w:ftr>
</file>

<file path=word/settings.xml><?xml version="1.0" encoding="utf-8"?>
<w:settings xmlns:w="http://schemas.openxmlformats.org/wordprocessingml/2006/main">
  <w:zoom w:percent="92"/>
  <w:embedSystemFonts/>
  <w:defaultTabStop w:val="56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pPrDefault>
  </w:docDefaults>
  <w:style w:type="paragraph" w:styleId="Normal">
    <w:name w:val="Normal"/>
    <w:qFormat/>
    <w:pPr>
      <w:widowControl/>
      <w:kinsoku w:val="true"/>
      <w:overflowPunct w:val="true"/>
      <w:autoSpaceDE w:val="true"/>
      <w:bidi w:val="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qFormat/>
    <w:rPr/>
  </w:style>
  <w:style w:type="character" w:styleId="PlaceholderText">
    <w:name w:val="Placeholder Text"/>
    <w:basedOn w:val="DefaultParagraphFont"/>
    <w:qFormat/>
    <w:rPr>
      <w:color w:val="808080"/>
    </w:rPr>
  </w:style>
  <w:style w:type="character" w:styleId="InternetLink">
    <w:name w:val="Internet Link"/>
    <w:basedOn w:val="DefaultParagraphFont"/>
    <w:rPr>
      <w:color w:val="0563C1"/>
      <w:u w:val="single"/>
    </w:rPr>
  </w:style>
  <w:style w:type="character" w:styleId="UnresolvedMention1">
    <w:name w:val="Unresolved Mention1"/>
    <w:basedOn w:val="DefaultParagraphFont"/>
    <w:qFormat/>
    <w:rPr>
      <w:color w:val="605E5C"/>
      <w:highlight w:val="lightGray"/>
    </w:rPr>
  </w:style>
  <w:style w:type="character" w:styleId="Appleconvertedspace">
    <w:name w:val="apple-converted-space"/>
    <w:basedOn w:val="DefaultParagraphFont"/>
    <w:qFormat/>
    <w:rPr/>
  </w:style>
  <w:style w:type="character" w:styleId="Label">
    <w:name w:val="label"/>
    <w:basedOn w:val="DefaultParagraphFont"/>
    <w:qFormat/>
    <w:rPr/>
  </w:style>
  <w:style w:type="character" w:styleId="Databold">
    <w:name w:val="data_bold"/>
    <w:basedOn w:val="DefaultParagraphFont"/>
    <w:qFormat/>
    <w:rPr/>
  </w:style>
  <w:style w:type="character" w:styleId="UnresolvedMention2">
    <w:name w:val="Unresolved Mention2"/>
    <w:basedOn w:val="DefaultParagraphFont"/>
    <w:qFormat/>
    <w:rPr>
      <w:color w:val="605E5C"/>
      <w:highlight w:val="lightGray"/>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PingFang SC"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rPr>
  </w:style>
  <w:style w:type="paragraph" w:styleId="BalloonText">
    <w:name w:val="Balloon Text"/>
    <w:basedOn w:val="Normal"/>
    <w:qFormat/>
    <w:pPr/>
    <w:rPr>
      <w:rFonts w:ascii="Lucida Grande" w:hAnsi="Lucida Grande"/>
      <w:sz w:val="18"/>
      <w:szCs w:val="18"/>
    </w:rPr>
  </w:style>
  <w:style w:type="paragraph" w:styleId="HeaderandFooter">
    <w:name w:val="Header and Footer"/>
    <w:basedOn w:val="Normal"/>
    <w:qFormat/>
    <w:pPr/>
    <w:rPr/>
  </w:style>
  <w:style w:type="paragraph" w:styleId="Header">
    <w:name w:val="Header"/>
    <w:basedOn w:val="Normal"/>
    <w:pPr>
      <w:tabs>
        <w:tab w:val="clear" w:pos="560"/>
        <w:tab w:val="center" w:pos="4320" w:leader="none"/>
        <w:tab w:val="right" w:pos="8640" w:leader="none"/>
      </w:tabs>
    </w:pPr>
    <w:rPr>
      <w:szCs w:val="20"/>
    </w:rPr>
  </w:style>
  <w:style w:type="paragraph" w:styleId="Footer">
    <w:name w:val="Footer"/>
    <w:basedOn w:val="Normal"/>
    <w:pPr>
      <w:tabs>
        <w:tab w:val="clear" w:pos="560"/>
        <w:tab w:val="center" w:pos="4320" w:leader="none"/>
        <w:tab w:val="right" w:pos="8640" w:leader="none"/>
      </w:tabs>
    </w:pPr>
    <w:rPr>
      <w:szCs w:val="20"/>
    </w:rPr>
  </w:style>
  <w:style w:type="paragraph" w:styleId="NormalText">
    <w:name w:val="Normal Text"/>
    <w:qFormat/>
    <w:pPr>
      <w:widowControl w:val="false"/>
      <w:kinsoku w:val="true"/>
      <w:overflowPunct w:val="true"/>
      <w:autoSpaceDE w:val="true"/>
      <w:bidi w:val="0"/>
      <w:jc w:val="start"/>
    </w:pPr>
    <w:rPr>
      <w:rFonts w:ascii="Times New Roman" w:hAnsi="Times New Roman" w:eastAsia="Times New Roman" w:cs="Times New Roman"/>
      <w:color w:val="000000"/>
      <w:kern w:val="0"/>
      <w:sz w:val="24"/>
      <w:szCs w:val="20"/>
      <w:lang w:val="en-US" w:eastAsia="en-US" w:bidi="ar-SA"/>
    </w:rPr>
  </w:style>
  <w:style w:type="paragraph" w:styleId="HTMLAddress">
    <w:name w:val="HTML Address"/>
    <w:basedOn w:val="HTMLTopofForm"/>
    <w:qFormat/>
    <w:pPr>
      <w:pBdr>
        <w:bottom w:val="nil"/>
      </w:pBdr>
      <w:spacing w:before="0" w:after="0"/>
      <w:jc w:val="start"/>
    </w:pPr>
    <w:rPr>
      <w:rFonts w:ascii="Times New Roman" w:hAnsi="Times New Roman"/>
      <w:vanish w:val="false"/>
      <w:sz w:val="20"/>
      <w:szCs w:val="20"/>
    </w:rPr>
  </w:style>
  <w:style w:type="paragraph" w:styleId="HTMLTopofForm">
    <w:name w:val="HTML Top of Form"/>
    <w:basedOn w:val="Normal"/>
    <w:next w:val="Normal"/>
    <w:qFormat/>
    <w:pPr>
      <w:pBdr>
        <w:bottom w:val="single" w:sz="6" w:space="1" w:color="000000"/>
      </w:pBdr>
      <w:spacing w:before="100" w:after="100"/>
      <w:jc w:val="center"/>
    </w:pPr>
    <w:rPr>
      <w:rFonts w:ascii="Arial" w:hAnsi="Arial"/>
      <w:vanish/>
      <w:sz w:val="16"/>
      <w:szCs w:val="16"/>
    </w:rPr>
  </w:style>
  <w:style w:type="paragraph" w:styleId="ListParagraph">
    <w:name w:val="List Paragraph"/>
    <w:basedOn w:val="Normal"/>
    <w:qFormat/>
    <w:pPr>
      <w:spacing w:before="0" w:after="0"/>
      <w:ind w:start="720" w:end="0" w:hanging="0"/>
      <w:contextualSpacing/>
    </w:pPr>
    <w:rPr>
      <w:szCs w:val="20"/>
    </w:rPr>
  </w:style>
  <w:style w:type="paragraph" w:styleId="NormalWeb">
    <w:name w:val="Normal (Web)"/>
    <w:basedOn w:val="Normal"/>
    <w:qFormat/>
    <w:pPr>
      <w:spacing w:before="280" w:after="28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76</TotalTime>
  <Application>LibreOffice/6.3.1.2$MacOSX_X86_64 LibreOffice_project/b79626edf0065ac373bd1df5c28bd630b4424273</Application>
  <Pages>3</Pages>
  <Words>1052</Words>
  <Characters>6041</Characters>
  <CharactersWithSpaces>7116</CharactersWithSpaces>
  <Paragraphs>42</Paragraphs>
  <Company>University of Wyoming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2019-10-03T23:05:00Z</dcterms:created>
  <dc:creator>Jeff Yarger</dc:creator>
  <dc:description/>
  <dc:language>en-US</dc:language>
  <cp:lastModifiedBy/>
  <cp:lastPrinted>2018-09-01T21:08:00Z</cp:lastPrinted>
  <dcterms:modified xsi:type="dcterms:W3CDTF">2019-10-04T14:52:37Z</dcterms:modified>
  <cp:revision>8</cp:revision>
  <dc:subject/>
  <dc:title>Practice Exam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University of Wyoming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